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D5" w:rsidRPr="006759D5" w:rsidRDefault="006759D5" w:rsidP="00371CD9">
      <w:pPr>
        <w:spacing w:after="423"/>
        <w:jc w:val="center"/>
        <w:rPr>
          <w:rFonts w:ascii="ＭＳ ゴシック" w:eastAsia="ＭＳ ゴシック" w:hAnsi="ＭＳ ゴシック" w:cs="ＭＳ ゴシック" w:hint="eastAsia"/>
          <w:sz w:val="21"/>
        </w:rPr>
      </w:pPr>
      <w:r>
        <w:rPr>
          <w:rFonts w:ascii="ＭＳ ゴシック" w:eastAsia="ＭＳ ゴシック" w:hAnsi="ＭＳ ゴシック" w:cs="ＭＳ ゴシック" w:hint="eastAsia"/>
          <w:sz w:val="21"/>
        </w:rPr>
        <w:t>LIFE</w:t>
      </w:r>
      <w:r>
        <w:rPr>
          <w:rFonts w:ascii="ＭＳ ゴシック" w:eastAsia="ＭＳ ゴシック" w:hAnsi="ＭＳ ゴシック" w:cs="ＭＳ ゴシック"/>
          <w:sz w:val="21"/>
        </w:rPr>
        <w:t>へのデータ提出の経過措置に係る計画書</w:t>
      </w:r>
    </w:p>
    <w:p w:rsidR="00627B49" w:rsidRDefault="00371CD9">
      <w:pPr>
        <w:tabs>
          <w:tab w:val="center" w:pos="6403"/>
          <w:tab w:val="center" w:pos="7770"/>
          <w:tab w:val="right" w:pos="8626"/>
        </w:tabs>
        <w:spacing w:after="141"/>
      </w:pPr>
      <w:r>
        <w:tab/>
      </w:r>
      <w:r>
        <w:rPr>
          <w:rFonts w:ascii="ＭＳ ゴシック" w:eastAsia="ＭＳ ゴシック" w:hAnsi="ＭＳ ゴシック" w:cs="ＭＳ ゴシック"/>
          <w:sz w:val="21"/>
        </w:rPr>
        <w:t>記載日</w:t>
      </w: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令和３年</w:t>
      </w:r>
      <w:r>
        <w:rPr>
          <w:rFonts w:ascii="ＭＳ ゴシック" w:eastAsia="ＭＳ ゴシック" w:hAnsi="ＭＳ ゴシック" w:cs="ＭＳ ゴシック"/>
          <w:sz w:val="21"/>
        </w:rPr>
        <w:tab/>
      </w:r>
      <w:r>
        <w:rPr>
          <w:rFonts w:ascii="ＭＳ ゴシック" w:eastAsia="ＭＳ ゴシック" w:hAnsi="ＭＳ ゴシック" w:cs="ＭＳ ゴシック"/>
          <w:sz w:val="21"/>
        </w:rPr>
        <w:t>月</w:t>
      </w:r>
      <w:r>
        <w:rPr>
          <w:rFonts w:ascii="ＭＳ ゴシック" w:eastAsia="ＭＳ ゴシック" w:hAnsi="ＭＳ ゴシック" w:cs="ＭＳ ゴシック"/>
          <w:sz w:val="21"/>
        </w:rPr>
        <w:tab/>
      </w:r>
      <w:r>
        <w:rPr>
          <w:rFonts w:ascii="ＭＳ ゴシック" w:eastAsia="ＭＳ ゴシック" w:hAnsi="ＭＳ ゴシック" w:cs="ＭＳ ゴシック"/>
          <w:sz w:val="21"/>
        </w:rPr>
        <w:t>日</w:t>
      </w:r>
    </w:p>
    <w:tbl>
      <w:tblPr>
        <w:tblStyle w:val="TableGrid"/>
        <w:tblW w:w="8495" w:type="dxa"/>
        <w:tblInd w:w="5" w:type="dxa"/>
        <w:tblCellMar>
          <w:top w:w="80" w:type="dxa"/>
          <w:left w:w="108" w:type="dxa"/>
          <w:bottom w:w="0" w:type="dxa"/>
          <w:right w:w="103" w:type="dxa"/>
        </w:tblCellMar>
        <w:tblLook w:val="04A0" w:firstRow="1" w:lastRow="0" w:firstColumn="1" w:lastColumn="0" w:noHBand="0" w:noVBand="1"/>
      </w:tblPr>
      <w:tblGrid>
        <w:gridCol w:w="8495"/>
      </w:tblGrid>
      <w:tr w:rsidR="00627B49">
        <w:trPr>
          <w:trHeight w:val="730"/>
        </w:trPr>
        <w:tc>
          <w:tcPr>
            <w:tcW w:w="8495" w:type="dxa"/>
            <w:tcBorders>
              <w:top w:val="single" w:sz="4" w:space="0" w:color="000000"/>
              <w:left w:val="single" w:sz="4" w:space="0" w:color="000000"/>
              <w:bottom w:val="single" w:sz="4" w:space="0" w:color="000000"/>
              <w:right w:val="single" w:sz="4" w:space="0" w:color="000000"/>
            </w:tcBorders>
          </w:tcPr>
          <w:p w:rsidR="00627B49" w:rsidRDefault="00371CD9" w:rsidP="00371CD9">
            <w:pPr>
              <w:spacing w:after="0"/>
            </w:pPr>
            <w:r>
              <w:rPr>
                <w:rFonts w:ascii="ＭＳ ゴシック" w:eastAsia="ＭＳ ゴシック" w:hAnsi="ＭＳ ゴシック" w:cs="ＭＳ ゴシック"/>
                <w:sz w:val="21"/>
              </w:rPr>
              <w:t>事業所名</w:t>
            </w:r>
          </w:p>
        </w:tc>
      </w:tr>
      <w:tr w:rsidR="00627B49">
        <w:trPr>
          <w:trHeight w:val="6491"/>
        </w:trPr>
        <w:tc>
          <w:tcPr>
            <w:tcW w:w="8495" w:type="dxa"/>
            <w:tcBorders>
              <w:top w:val="single" w:sz="4" w:space="0" w:color="000000"/>
              <w:left w:val="single" w:sz="4" w:space="0" w:color="000000"/>
              <w:bottom w:val="single" w:sz="4" w:space="0" w:color="000000"/>
              <w:right w:val="single" w:sz="4" w:space="0" w:color="000000"/>
            </w:tcBorders>
          </w:tcPr>
          <w:p w:rsidR="00627B49" w:rsidRDefault="00371CD9">
            <w:pPr>
              <w:spacing w:after="63"/>
            </w:pPr>
            <w:r>
              <w:rPr>
                <w:rFonts w:ascii="ＭＳ ゴシック" w:eastAsia="ＭＳ ゴシック" w:hAnsi="ＭＳ ゴシック" w:cs="ＭＳ ゴシック"/>
                <w:sz w:val="21"/>
              </w:rPr>
              <w:t>該当する加算名</w:t>
            </w:r>
          </w:p>
          <w:p w:rsidR="00627B49" w:rsidRDefault="00371CD9">
            <w:pPr>
              <w:spacing w:after="85"/>
            </w:pPr>
            <w:r>
              <w:rPr>
                <w:rFonts w:ascii="ＭＳ ゴシック" w:eastAsia="ＭＳ ゴシック" w:hAnsi="ＭＳ ゴシック" w:cs="ＭＳ ゴシック"/>
                <w:sz w:val="21"/>
              </w:rPr>
              <w:t>□</w:t>
            </w:r>
            <w:r>
              <w:rPr>
                <w:rFonts w:ascii="ＭＳ ゴシック" w:eastAsia="ＭＳ ゴシック" w:hAnsi="ＭＳ ゴシック" w:cs="ＭＳ ゴシック"/>
                <w:sz w:val="21"/>
              </w:rPr>
              <w:t>科学的介護推進体制加算（</w:t>
            </w:r>
            <w:r>
              <w:rPr>
                <w:rFonts w:ascii="ＭＳ ゴシック" w:eastAsia="ＭＳ ゴシック" w:hAnsi="ＭＳ ゴシック" w:cs="ＭＳ ゴシック"/>
                <w:sz w:val="21"/>
              </w:rPr>
              <w:t>Ⅰ</w:t>
            </w:r>
            <w:r>
              <w:rPr>
                <w:rFonts w:ascii="ＭＳ ゴシック" w:eastAsia="ＭＳ ゴシック" w:hAnsi="ＭＳ ゴシック" w:cs="ＭＳ ゴシック"/>
                <w:sz w:val="21"/>
              </w:rPr>
              <w:t>）及び（</w:t>
            </w:r>
            <w:r>
              <w:rPr>
                <w:rFonts w:ascii="ＭＳ ゴシック" w:eastAsia="ＭＳ ゴシック" w:hAnsi="ＭＳ ゴシック" w:cs="ＭＳ ゴシック"/>
                <w:sz w:val="21"/>
              </w:rPr>
              <w:t>Ⅱ</w:t>
            </w:r>
            <w:r>
              <w:rPr>
                <w:rFonts w:ascii="ＭＳ ゴシック" w:eastAsia="ＭＳ ゴシック" w:hAnsi="ＭＳ ゴシック" w:cs="ＭＳ ゴシック"/>
                <w:sz w:val="21"/>
              </w:rPr>
              <w:t>）</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個別機能訓練加算</w:t>
            </w:r>
            <w:r>
              <w:rPr>
                <w:rFonts w:ascii="ＭＳ ゴシック" w:eastAsia="ＭＳ ゴシック" w:hAnsi="ＭＳ ゴシック" w:cs="ＭＳ ゴシック"/>
                <w:sz w:val="21"/>
              </w:rPr>
              <w:t>(Ⅱ)</w:t>
            </w:r>
          </w:p>
          <w:p w:rsidR="00627B49" w:rsidRDefault="00371CD9">
            <w:pPr>
              <w:tabs>
                <w:tab w:val="center" w:pos="1255"/>
              </w:tabs>
              <w:spacing w:after="85"/>
            </w:pPr>
            <w:r>
              <w:rPr>
                <w:rFonts w:ascii="ＭＳ ゴシック" w:eastAsia="ＭＳ ゴシック" w:hAnsi="ＭＳ ゴシック" w:cs="ＭＳ ゴシック"/>
                <w:sz w:val="21"/>
              </w:rPr>
              <w:t>□</w:t>
            </w:r>
            <w:r>
              <w:rPr>
                <w:rFonts w:ascii="ＭＳ ゴシック" w:eastAsia="ＭＳ ゴシック" w:hAnsi="ＭＳ ゴシック" w:cs="ＭＳ ゴシック" w:hint="eastAsia"/>
                <w:sz w:val="21"/>
              </w:rPr>
              <w:t xml:space="preserve">　ADL</w:t>
            </w:r>
            <w:r>
              <w:rPr>
                <w:rFonts w:ascii="ＭＳ ゴシック" w:eastAsia="ＭＳ ゴシック" w:hAnsi="ＭＳ ゴシック" w:cs="ＭＳ ゴシック"/>
                <w:sz w:val="21"/>
              </w:rPr>
              <w:t>維持等加算</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リハビリテーションマネジメント加算</w:t>
            </w: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Ａ</w:t>
            </w: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ロ及び</w:t>
            </w: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Ｂ</w:t>
            </w: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ロ</w:t>
            </w:r>
          </w:p>
          <w:p w:rsidR="00371CD9" w:rsidRDefault="00371CD9">
            <w:pPr>
              <w:spacing w:after="0" w:line="333" w:lineRule="auto"/>
              <w:ind w:left="360" w:hanging="360"/>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リハビリテーションマネジメント計画書情報加算並びに理学療法、作業療法及び</w:t>
            </w:r>
          </w:p>
          <w:p w:rsidR="00627B49" w:rsidRDefault="00371CD9" w:rsidP="00371CD9">
            <w:pPr>
              <w:spacing w:after="0" w:line="333" w:lineRule="auto"/>
              <w:ind w:leftChars="100" w:left="220" w:firstLineChars="100" w:firstLine="210"/>
            </w:pPr>
            <w:r>
              <w:rPr>
                <w:rFonts w:ascii="ＭＳ ゴシック" w:eastAsia="ＭＳ ゴシック" w:hAnsi="ＭＳ ゴシック" w:cs="ＭＳ ゴシック"/>
                <w:sz w:val="21"/>
              </w:rPr>
              <w:t>言語聴覚療法に係る加算</w:t>
            </w:r>
            <w:bookmarkStart w:id="0" w:name="_GoBack"/>
            <w:bookmarkEnd w:id="0"/>
          </w:p>
          <w:p w:rsidR="00627B49" w:rsidRDefault="00371CD9">
            <w:pPr>
              <w:spacing w:after="0" w:line="333" w:lineRule="auto"/>
              <w:ind w:right="5610"/>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褥瘡マネジメント加算</w:t>
            </w:r>
            <w:r>
              <w:rPr>
                <w:rFonts w:ascii="ＭＳ ゴシック" w:eastAsia="ＭＳ ゴシック" w:hAnsi="ＭＳ ゴシック" w:cs="ＭＳ ゴシック"/>
                <w:sz w:val="21"/>
              </w:rPr>
              <w:t xml:space="preserve"> □ </w:t>
            </w:r>
            <w:r>
              <w:rPr>
                <w:rFonts w:ascii="ＭＳ ゴシック" w:eastAsia="ＭＳ ゴシック" w:hAnsi="ＭＳ ゴシック" w:cs="ＭＳ ゴシック"/>
                <w:sz w:val="21"/>
              </w:rPr>
              <w:t>褥瘡対策指導管理</w:t>
            </w:r>
            <w:r>
              <w:rPr>
                <w:rFonts w:ascii="ＭＳ ゴシック" w:eastAsia="ＭＳ ゴシック" w:hAnsi="ＭＳ ゴシック" w:cs="ＭＳ ゴシック"/>
                <w:sz w:val="21"/>
              </w:rPr>
              <w:t>(Ⅱ)</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排せつ支援加算</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自立支援促進加算</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かかりつけ医連携薬剤調整加算</w:t>
            </w:r>
            <w:r>
              <w:rPr>
                <w:rFonts w:ascii="ＭＳ ゴシック" w:eastAsia="ＭＳ ゴシック" w:hAnsi="ＭＳ ゴシック" w:cs="ＭＳ ゴシック"/>
                <w:sz w:val="21"/>
              </w:rPr>
              <w:t>(Ⅱ)</w:t>
            </w:r>
            <w:r>
              <w:rPr>
                <w:rFonts w:ascii="ＭＳ ゴシック" w:eastAsia="ＭＳ ゴシック" w:hAnsi="ＭＳ ゴシック" w:cs="ＭＳ ゴシック"/>
                <w:sz w:val="21"/>
              </w:rPr>
              <w:t>及び（</w:t>
            </w:r>
            <w:r>
              <w:rPr>
                <w:rFonts w:ascii="ＭＳ ゴシック" w:eastAsia="ＭＳ ゴシック" w:hAnsi="ＭＳ ゴシック" w:cs="ＭＳ ゴシック"/>
                <w:sz w:val="21"/>
              </w:rPr>
              <w:t>Ⅲ</w:t>
            </w:r>
            <w:r>
              <w:rPr>
                <w:rFonts w:ascii="ＭＳ ゴシック" w:eastAsia="ＭＳ ゴシック" w:hAnsi="ＭＳ ゴシック" w:cs="ＭＳ ゴシック"/>
                <w:sz w:val="21"/>
              </w:rPr>
              <w:t>）</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薬剤管理指導の注２の加算</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栄養マネジメント強化加算</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口腔衛生管理加算</w:t>
            </w:r>
            <w:r>
              <w:rPr>
                <w:rFonts w:ascii="ＭＳ ゴシック" w:eastAsia="ＭＳ ゴシック" w:hAnsi="ＭＳ ゴシック" w:cs="ＭＳ ゴシック"/>
                <w:sz w:val="21"/>
              </w:rPr>
              <w:t>(Ⅱ)</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科学的介護推進体制加算</w:t>
            </w:r>
          </w:p>
          <w:p w:rsidR="00627B49" w:rsidRDefault="00371CD9">
            <w:pPr>
              <w:spacing w:after="0"/>
              <w:ind w:right="5610"/>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栄養アセスメント加算</w:t>
            </w:r>
            <w:r>
              <w:rPr>
                <w:rFonts w:ascii="ＭＳ ゴシック" w:eastAsia="ＭＳ ゴシック" w:hAnsi="ＭＳ ゴシック" w:cs="ＭＳ ゴシック"/>
                <w:sz w:val="21"/>
              </w:rPr>
              <w:t xml:space="preserve"> □ </w:t>
            </w:r>
            <w:r>
              <w:rPr>
                <w:rFonts w:ascii="ＭＳ ゴシック" w:eastAsia="ＭＳ ゴシック" w:hAnsi="ＭＳ ゴシック" w:cs="ＭＳ ゴシック"/>
                <w:sz w:val="21"/>
              </w:rPr>
              <w:t>口腔機能向上加算</w:t>
            </w:r>
            <w:r>
              <w:rPr>
                <w:rFonts w:ascii="ＭＳ ゴシック" w:eastAsia="ＭＳ ゴシック" w:hAnsi="ＭＳ ゴシック" w:cs="ＭＳ ゴシック"/>
                <w:sz w:val="21"/>
              </w:rPr>
              <w:t>(Ⅱ)</w:t>
            </w:r>
          </w:p>
        </w:tc>
      </w:tr>
      <w:tr w:rsidR="00627B49">
        <w:trPr>
          <w:trHeight w:val="732"/>
        </w:trPr>
        <w:tc>
          <w:tcPr>
            <w:tcW w:w="8495" w:type="dxa"/>
            <w:tcBorders>
              <w:top w:val="single" w:sz="4" w:space="0" w:color="000000"/>
              <w:left w:val="single" w:sz="4" w:space="0" w:color="000000"/>
              <w:bottom w:val="single" w:sz="4" w:space="0" w:color="000000"/>
              <w:right w:val="single" w:sz="4" w:space="0" w:color="000000"/>
            </w:tcBorders>
          </w:tcPr>
          <w:p w:rsidR="00371CD9" w:rsidRDefault="00371CD9">
            <w:pPr>
              <w:spacing w:after="0"/>
              <w:ind w:right="5209"/>
              <w:rPr>
                <w:rFonts w:ascii="ＭＳ ゴシック" w:eastAsia="ＭＳ ゴシック" w:hAnsi="ＭＳ ゴシック" w:cs="ＭＳ ゴシック"/>
                <w:sz w:val="21"/>
                <w:vertAlign w:val="superscript"/>
              </w:rPr>
            </w:pPr>
            <w:r>
              <w:rPr>
                <w:rFonts w:ascii="ＭＳ ゴシック" w:eastAsia="ＭＳ ゴシック" w:hAnsi="ＭＳ ゴシック" w:cs="ＭＳ ゴシック"/>
                <w:sz w:val="21"/>
              </w:rPr>
              <w:t>加算算定を開始する月</w:t>
            </w:r>
            <w:r>
              <w:rPr>
                <w:rFonts w:ascii="ＭＳ ゴシック" w:eastAsia="ＭＳ ゴシック" w:hAnsi="ＭＳ ゴシック" w:cs="ＭＳ ゴシック"/>
                <w:sz w:val="21"/>
                <w:vertAlign w:val="superscript"/>
              </w:rPr>
              <w:t xml:space="preserve">※ </w:t>
            </w:r>
          </w:p>
          <w:p w:rsidR="00627B49" w:rsidRDefault="00371CD9">
            <w:pPr>
              <w:spacing w:after="0"/>
              <w:ind w:right="5209"/>
            </w:pPr>
            <w:r>
              <w:rPr>
                <w:rFonts w:ascii="ＭＳ ゴシック" w:eastAsia="ＭＳ ゴシック" w:hAnsi="ＭＳ ゴシック" w:cs="ＭＳ ゴシック"/>
                <w:sz w:val="21"/>
              </w:rPr>
              <w:t>令和３年</w:t>
            </w:r>
            <w:r>
              <w:rPr>
                <w:rFonts w:ascii="ＭＳ ゴシック" w:eastAsia="ＭＳ ゴシック" w:hAnsi="ＭＳ ゴシック" w:cs="ＭＳ ゴシック"/>
                <w:sz w:val="21"/>
              </w:rPr>
              <w:tab/>
            </w:r>
            <w:r>
              <w:rPr>
                <w:rFonts w:ascii="ＭＳ ゴシック" w:eastAsia="ＭＳ ゴシック" w:hAnsi="ＭＳ ゴシック" w:cs="ＭＳ ゴシック"/>
                <w:sz w:val="21"/>
              </w:rPr>
              <w:t>月</w:t>
            </w:r>
          </w:p>
        </w:tc>
      </w:tr>
      <w:tr w:rsidR="00627B49">
        <w:trPr>
          <w:trHeight w:val="730"/>
        </w:trPr>
        <w:tc>
          <w:tcPr>
            <w:tcW w:w="8495" w:type="dxa"/>
            <w:tcBorders>
              <w:top w:val="single" w:sz="4" w:space="0" w:color="000000"/>
              <w:left w:val="single" w:sz="4" w:space="0" w:color="000000"/>
              <w:bottom w:val="single" w:sz="4" w:space="0" w:color="000000"/>
              <w:right w:val="single" w:sz="4" w:space="0" w:color="000000"/>
            </w:tcBorders>
          </w:tcPr>
          <w:p w:rsidR="00371CD9" w:rsidRDefault="00371CD9" w:rsidP="00371CD9">
            <w:pPr>
              <w:spacing w:after="0"/>
              <w:ind w:right="4076"/>
              <w:rPr>
                <w:rFonts w:ascii="ＭＳ ゴシック" w:eastAsia="ＭＳ ゴシック" w:hAnsi="ＭＳ ゴシック" w:cs="ＭＳ ゴシック"/>
                <w:sz w:val="21"/>
              </w:rPr>
            </w:pPr>
            <w:r>
              <w:rPr>
                <w:rFonts w:ascii="ＭＳ ゴシック" w:eastAsia="ＭＳ ゴシック" w:hAnsi="ＭＳ ゴシック" w:cs="ＭＳ ゴシック"/>
                <w:sz w:val="21"/>
              </w:rPr>
              <w:t>データ提出を実施できる見込みの月</w:t>
            </w:r>
          </w:p>
          <w:p w:rsidR="00627B49" w:rsidRDefault="00371CD9" w:rsidP="00371CD9">
            <w:pPr>
              <w:spacing w:after="0"/>
              <w:ind w:right="4076"/>
            </w:pPr>
            <w:r>
              <w:rPr>
                <w:rFonts w:ascii="ＭＳ ゴシック" w:eastAsia="ＭＳ ゴシック" w:hAnsi="ＭＳ ゴシック" w:cs="ＭＳ ゴシック"/>
                <w:sz w:val="21"/>
              </w:rPr>
              <w:t>令和３年</w:t>
            </w:r>
            <w:r>
              <w:rPr>
                <w:rFonts w:ascii="ＭＳ ゴシック" w:eastAsia="ＭＳ ゴシック" w:hAnsi="ＭＳ ゴシック" w:cs="ＭＳ ゴシック"/>
                <w:sz w:val="21"/>
              </w:rPr>
              <w:tab/>
            </w:r>
            <w:r>
              <w:rPr>
                <w:rFonts w:ascii="ＭＳ ゴシック" w:eastAsia="ＭＳ ゴシック" w:hAnsi="ＭＳ ゴシック" w:cs="ＭＳ ゴシック"/>
                <w:sz w:val="21"/>
              </w:rPr>
              <w:t>月</w:t>
            </w:r>
          </w:p>
        </w:tc>
      </w:tr>
      <w:tr w:rsidR="00627B49">
        <w:trPr>
          <w:trHeight w:val="2170"/>
        </w:trPr>
        <w:tc>
          <w:tcPr>
            <w:tcW w:w="8495" w:type="dxa"/>
            <w:tcBorders>
              <w:top w:val="single" w:sz="4" w:space="0" w:color="000000"/>
              <w:left w:val="single" w:sz="4" w:space="0" w:color="000000"/>
              <w:bottom w:val="single" w:sz="4" w:space="0" w:color="000000"/>
              <w:right w:val="single" w:sz="4" w:space="0" w:color="000000"/>
            </w:tcBorders>
          </w:tcPr>
          <w:p w:rsidR="00627B49" w:rsidRDefault="00371CD9">
            <w:pPr>
              <w:spacing w:after="63"/>
            </w:pPr>
            <w:r>
              <w:rPr>
                <w:rFonts w:ascii="ＭＳ ゴシック" w:eastAsia="ＭＳ ゴシック" w:hAnsi="ＭＳ ゴシック" w:cs="ＭＳ ゴシック"/>
                <w:sz w:val="21"/>
              </w:rPr>
              <w:t>データ提出に猶予が必要な理由</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新規利用申請に係るはがきの発送が遅延</w:t>
            </w:r>
          </w:p>
          <w:p w:rsidR="00627B49" w:rsidRDefault="00371CD9">
            <w:pPr>
              <w:spacing w:after="85"/>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ヘルプデスクからの回答がない又は解決に至らない</w:t>
            </w:r>
          </w:p>
          <w:p w:rsidR="00627B49" w:rsidRDefault="00371CD9">
            <w:pPr>
              <w:spacing w:after="0" w:line="333" w:lineRule="auto"/>
              <w:ind w:left="360" w:hanging="360"/>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新たに事業所番号を取得する事業所等のため新規申請ができない又は新規利用申請に係るはがきの発送が遅延</w:t>
            </w:r>
          </w:p>
          <w:p w:rsidR="00627B49" w:rsidRDefault="00371CD9">
            <w:pPr>
              <w:tabs>
                <w:tab w:val="right" w:pos="8284"/>
              </w:tabs>
              <w:spacing w:after="0"/>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その他（</w:t>
            </w:r>
            <w:r>
              <w:rPr>
                <w:rFonts w:ascii="ＭＳ ゴシック" w:eastAsia="ＭＳ ゴシック" w:hAnsi="ＭＳ ゴシック" w:cs="ＭＳ ゴシック"/>
                <w:sz w:val="21"/>
              </w:rPr>
              <w:tab/>
            </w:r>
            <w:r>
              <w:rPr>
                <w:rFonts w:ascii="ＭＳ ゴシック" w:eastAsia="ＭＳ ゴシック" w:hAnsi="ＭＳ ゴシック" w:cs="ＭＳ ゴシック"/>
                <w:sz w:val="21"/>
              </w:rPr>
              <w:t>）</w:t>
            </w:r>
          </w:p>
        </w:tc>
      </w:tr>
    </w:tbl>
    <w:p w:rsidR="00627B49" w:rsidRDefault="00371CD9">
      <w:pPr>
        <w:spacing w:after="63"/>
        <w:ind w:left="-5" w:hanging="10"/>
      </w:pPr>
      <w:r>
        <w:rPr>
          <w:rFonts w:ascii="ＭＳ ゴシック" w:eastAsia="ＭＳ ゴシック" w:hAnsi="ＭＳ ゴシック" w:cs="ＭＳ ゴシック"/>
          <w:sz w:val="21"/>
        </w:rPr>
        <w:t>※</w:t>
      </w:r>
      <w:r>
        <w:rPr>
          <w:rFonts w:ascii="ＭＳ ゴシック" w:eastAsia="ＭＳ ゴシック" w:hAnsi="ＭＳ ゴシック" w:cs="ＭＳ ゴシック"/>
          <w:sz w:val="21"/>
        </w:rPr>
        <w:t>かかりつけ医連携薬剤調整加算の場合は記載不要</w:t>
      </w:r>
    </w:p>
    <w:p w:rsidR="00371CD9" w:rsidRDefault="00371CD9">
      <w:pPr>
        <w:spacing w:after="63"/>
        <w:ind w:left="-5" w:hanging="10"/>
        <w:rPr>
          <w:rFonts w:ascii="ＭＳ ゴシック" w:eastAsia="ＭＳ ゴシック" w:hAnsi="ＭＳ ゴシック" w:cs="ＭＳ ゴシック"/>
          <w:sz w:val="21"/>
        </w:rPr>
      </w:pPr>
    </w:p>
    <w:p w:rsidR="00371CD9" w:rsidRDefault="00371CD9">
      <w:pPr>
        <w:spacing w:after="63"/>
        <w:ind w:left="-5" w:hanging="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（注）</w:t>
      </w: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複数の加算のデータ提出に係る計画をまとめて記載いただいても構いません。</w:t>
      </w:r>
    </w:p>
    <w:p w:rsidR="00371CD9" w:rsidRDefault="00371CD9" w:rsidP="00371CD9">
      <w:pPr>
        <w:spacing w:after="63"/>
        <w:rPr>
          <w:rFonts w:ascii="ＭＳ ゴシック" w:eastAsia="ＭＳ ゴシック" w:hAnsi="ＭＳ ゴシック" w:cs="ＭＳ ゴシック" w:hint="eastAsia"/>
          <w:sz w:val="21"/>
        </w:rPr>
      </w:pPr>
    </w:p>
    <w:sectPr w:rsidR="00371CD9">
      <w:pgSz w:w="11906" w:h="16838"/>
      <w:pgMar w:top="540" w:right="1579" w:bottom="53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49"/>
    <w:rsid w:val="00371CD9"/>
    <w:rsid w:val="00627B49"/>
    <w:rsid w:val="0067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1E0737"/>
  <w15:docId w15:val="{C9B865AE-27D4-4078-A41B-5A79F6A3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7202-F570-4A4C-8E1D-21B2B21B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cp:lastModifiedBy>石田有紀</cp:lastModifiedBy>
  <cp:revision>3</cp:revision>
  <dcterms:created xsi:type="dcterms:W3CDTF">2021-05-10T07:14:00Z</dcterms:created>
  <dcterms:modified xsi:type="dcterms:W3CDTF">2021-05-10T07:19:00Z</dcterms:modified>
</cp:coreProperties>
</file>